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PingFang SC" w:hAnsi="PingFang SC" w:eastAsia="PingFang SC"/>
          <w:b/>
          <w:sz w:val="38"/>
        </w:rPr>
        <w:t>工会福利服务商选型：20 个尽调问题</w:t>
      </w:r>
    </w:p>
    <w:p>
      <w:pPr>
        <w:spacing w:after="60"/>
      </w:pPr>
      <w:r>
        <w:rPr>
          <w:rFonts w:ascii="PingFang SC" w:hAnsi="PingFang SC" w:eastAsia="PingFang SC"/>
          <w:i w:val="0"/>
          <w:color w:val="6B655C"/>
          <w:sz w:val="19"/>
        </w:rPr>
        <w:t>把本表发给候选供应商，要求逐条书面回答。答不上来的，答案本身就是答案。</w:t>
      </w:r>
    </w:p>
    <w:p>
      <w:pPr>
        <w:spacing w:after="60"/>
      </w:pPr>
      <w:r>
        <w:rPr>
          <w:rFonts w:ascii="PingFang SC" w:hAnsi="PingFang SC" w:eastAsia="PingFang SC"/>
          <w:i w:val="0"/>
          <w:color w:val="8A5A2B"/>
          <w:sz w:val="18"/>
        </w:rPr>
        <w:t>版本 2026-09-01 · 科锐昂 KRASTD · www.krastd.com · 400-895-0895</w:t>
      </w:r>
    </w:p>
    <w:p>
      <w:pPr>
        <w:spacing w:before="200" w:after="80"/>
      </w:pPr>
      <w:r>
        <w:rPr>
          <w:rFonts w:ascii="PingFang SC" w:hAnsi="PingFang SC" w:eastAsia="PingFang SC"/>
          <w:b/>
          <w:color w:val="8A5A2B"/>
          <w:sz w:val="26"/>
        </w:rPr>
        <w:t>一、资质与主体（4 问）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b/>
                <w:sz w:val="19"/>
              </w:rPr>
              <w:t>#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b/>
                <w:sz w:val="19"/>
              </w:rPr>
              <w:t>尽调问题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b/>
                <w:sz w:val="19"/>
              </w:rPr>
              <w:t>供应商回答</w:t>
            </w:r>
          </w:p>
        </w:tc>
      </w:tr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sz w:val="19"/>
              </w:rPr>
              <w:t>1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sz w:val="19"/>
              </w:rPr>
              <w:t>公司全称、统一社会信用代码、成立时间？实际经营主体与合同签约主体是否一致？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sz w:val="19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sz w:val="19"/>
              </w:rPr>
              <w:t>2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sz w:val="19"/>
              </w:rPr>
              <w:t>是否持有增值电信业务经营许可证？证号是多少？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sz w:val="19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sz w:val="19"/>
              </w:rPr>
              <w:t>3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sz w:val="19"/>
              </w:rPr>
              <w:t>若涉及储值、兑换码、预付类业务，是否有单用途商业预付卡备案？备案号是多少？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sz w:val="19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sz w:val="19"/>
              </w:rPr>
              <w:t>4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sz w:val="19"/>
              </w:rPr>
              <w:t>有无信息安全相关认证（如 ISO 27001）？请提供证书编号与发证机构，以便官网核验。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sz w:val="19"/>
              </w:rPr>
            </w:r>
          </w:p>
        </w:tc>
      </w:tr>
    </w:tbl>
    <w:p>
      <w:pPr>
        <w:spacing w:before="200" w:after="80"/>
      </w:pPr>
      <w:r>
        <w:rPr>
          <w:rFonts w:ascii="PingFang SC" w:hAnsi="PingFang SC" w:eastAsia="PingFang SC"/>
          <w:b/>
          <w:color w:val="8A5A2B"/>
          <w:sz w:val="26"/>
        </w:rPr>
        <w:t>二、合规能力（5 问）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b/>
                <w:sz w:val="19"/>
              </w:rPr>
              <w:t>#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b/>
                <w:sz w:val="19"/>
              </w:rPr>
              <w:t>尽调问题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b/>
                <w:sz w:val="19"/>
              </w:rPr>
              <w:t>供应商回答</w:t>
            </w:r>
          </w:p>
        </w:tc>
      </w:tr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sz w:val="19"/>
              </w:rPr>
              <w:t>5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sz w:val="19"/>
              </w:rPr>
              <w:t>平台是否从功能上禁止现金提现、购物卡发放？请演示。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sz w:val="19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sz w:val="19"/>
              </w:rPr>
              <w:t>6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sz w:val="19"/>
              </w:rPr>
              <w:t>能否按我方所在省份的现行标准设置额度上限？超限时系统如何处理？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sz w:val="19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sz w:val="19"/>
              </w:rPr>
              <w:t>7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sz w:val="19"/>
              </w:rPr>
              <w:t>能否提供预算审批 → 选品 → 兑换 → 签收 → 开票的完整留痕导出？导出格式是什么？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sz w:val="19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sz w:val="19"/>
              </w:rPr>
              <w:t>8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sz w:val="19"/>
              </w:rPr>
              <w:t>发票的品名、税率、开票主体如何确定？能否满足我方财务与审计要求？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sz w:val="19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sz w:val="19"/>
              </w:rPr>
              <w:t>9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sz w:val="19"/>
              </w:rPr>
              <w:t>是否了解并能对齐我方上级工会的最新文件？依据从哪里来？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sz w:val="19"/>
              </w:rPr>
            </w:r>
          </w:p>
        </w:tc>
      </w:tr>
    </w:tbl>
    <w:p>
      <w:pPr>
        <w:spacing w:before="200" w:after="80"/>
      </w:pPr>
      <w:r>
        <w:rPr>
          <w:rFonts w:ascii="PingFang SC" w:hAnsi="PingFang SC" w:eastAsia="PingFang SC"/>
          <w:b/>
          <w:color w:val="8A5A2B"/>
          <w:sz w:val="26"/>
        </w:rPr>
        <w:t>三、价格与商品（4 问）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b/>
                <w:sz w:val="19"/>
              </w:rPr>
              <w:t>#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b/>
                <w:sz w:val="19"/>
              </w:rPr>
              <w:t>尽调问题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b/>
                <w:sz w:val="19"/>
              </w:rPr>
              <w:t>供应商回答</w:t>
            </w:r>
          </w:p>
        </w:tc>
      </w:tr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sz w:val="19"/>
              </w:rPr>
              <w:t>10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sz w:val="19"/>
              </w:rPr>
              <w:t>定价是否公开？同款商品与主流电商平台的价格如何比对？能否提供比价工具或截图？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sz w:val="19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sz w:val="19"/>
              </w:rPr>
              <w:t>11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sz w:val="19"/>
              </w:rPr>
              <w:t>商品来源与正品保障机制是什么？出现质量问题的赔付条款写进合同了吗？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sz w:val="19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sz w:val="19"/>
              </w:rPr>
              <w:t>12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sz w:val="19"/>
              </w:rPr>
              <w:t>SKU 数量的口径是什么——是自有可售，还是聚合的理论池？两者可能差一个数量级。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sz w:val="19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sz w:val="19"/>
              </w:rPr>
              <w:t>13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sz w:val="19"/>
              </w:rPr>
              <w:t>缺货、断货、替换商品的处理规则？是否需要我方逐次确认？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sz w:val="19"/>
              </w:rPr>
            </w:r>
          </w:p>
        </w:tc>
      </w:tr>
    </w:tbl>
    <w:p>
      <w:pPr>
        <w:spacing w:before="200" w:after="80"/>
      </w:pPr>
      <w:r>
        <w:rPr>
          <w:rFonts w:ascii="PingFang SC" w:hAnsi="PingFang SC" w:eastAsia="PingFang SC"/>
          <w:b/>
          <w:color w:val="8A5A2B"/>
          <w:sz w:val="26"/>
        </w:rPr>
        <w:t>四、数据与撤权（3 问）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b/>
                <w:sz w:val="19"/>
              </w:rPr>
              <w:t>#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b/>
                <w:sz w:val="19"/>
              </w:rPr>
              <w:t>尽调问题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b/>
                <w:sz w:val="19"/>
              </w:rPr>
              <w:t>供应商回答</w:t>
            </w:r>
          </w:p>
        </w:tc>
      </w:tr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sz w:val="19"/>
              </w:rPr>
              <w:t>14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sz w:val="19"/>
              </w:rPr>
              <w:t>员工个人信息如何收集、存储、使用？是否签署数据处理协议（DPA）？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sz w:val="19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sz w:val="19"/>
              </w:rPr>
              <w:t>15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sz w:val="19"/>
              </w:rPr>
              <w:t>合同结束后，我方数据如何导出与删除？撤权的操作路径与时限是什么？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sz w:val="19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sz w:val="19"/>
              </w:rPr>
              <w:t>16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sz w:val="19"/>
              </w:rPr>
              <w:t>员工数据是否会被用于该供应商的其他商业用途？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sz w:val="19"/>
              </w:rPr>
            </w:r>
          </w:p>
        </w:tc>
      </w:tr>
    </w:tbl>
    <w:p>
      <w:pPr>
        <w:spacing w:before="200" w:after="80"/>
      </w:pPr>
      <w:r>
        <w:rPr>
          <w:rFonts w:ascii="PingFang SC" w:hAnsi="PingFang SC" w:eastAsia="PingFang SC"/>
          <w:b/>
          <w:color w:val="8A5A2B"/>
          <w:sz w:val="26"/>
        </w:rPr>
        <w:t>五、交付与证据（4 问）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b/>
                <w:sz w:val="19"/>
              </w:rPr>
              <w:t>#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b/>
                <w:sz w:val="19"/>
              </w:rPr>
              <w:t>尽调问题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b/>
                <w:sz w:val="19"/>
              </w:rPr>
              <w:t>供应商回答</w:t>
            </w:r>
          </w:p>
        </w:tc>
      </w:tr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sz w:val="19"/>
              </w:rPr>
              <w:t>17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sz w:val="19"/>
              </w:rPr>
              <w:t>从确定需求到商城上线需要多久？违约的责任条款是什么？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sz w:val="19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sz w:val="19"/>
              </w:rPr>
              <w:t>18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sz w:val="19"/>
              </w:rPr>
              <w:t>能否提供具名的客户案例与可联系的推荐人？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sz w:val="19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sz w:val="19"/>
              </w:rPr>
              <w:t>19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sz w:val="19"/>
              </w:rPr>
              <w:t>案例中的效果数字，口径是什么、由谁统计、客户方是否确认？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sz w:val="19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rFonts w:ascii="PingFang SC" w:hAnsi="PingFang SC" w:eastAsia="PingFang SC"/>
                <w:sz w:val="19"/>
              </w:rPr>
              <w:t>20</w:t>
            </w:r>
          </w:p>
        </w:tc>
        <w:tc>
          <w:tcPr>
            <w:tcW w:type="dxa" w:w="5216"/>
          </w:tcPr>
          <w:p>
            <w:r/>
            <w:r>
              <w:rPr>
                <w:rFonts w:ascii="PingFang SC" w:hAnsi="PingFang SC" w:eastAsia="PingFang SC"/>
                <w:sz w:val="19"/>
              </w:rPr>
              <w:t>服务期内的对接人配置？问题响应时限？</w:t>
            </w:r>
          </w:p>
        </w:tc>
        <w:tc>
          <w:tcPr>
            <w:tcW w:type="dxa" w:w="3969"/>
          </w:tcPr>
          <w:p>
            <w:r/>
            <w:r>
              <w:rPr>
                <w:rFonts w:ascii="PingFang SC" w:hAnsi="PingFang SC" w:eastAsia="PingFang SC"/>
                <w:sz w:val="19"/>
              </w:rPr>
            </w:r>
          </w:p>
        </w:tc>
      </w:tr>
    </w:tbl>
    <w:p>
      <w:pPr>
        <w:spacing w:before="200" w:after="80"/>
      </w:pPr>
      <w:r>
        <w:rPr>
          <w:rFonts w:ascii="PingFang SC" w:hAnsi="PingFang SC" w:eastAsia="PingFang SC"/>
          <w:b/>
          <w:color w:val="8A5A2B"/>
          <w:sz w:val="23"/>
        </w:rPr>
        <w:t>第 19 问为什么关键</w:t>
      </w:r>
    </w:p>
    <w:p>
      <w:pPr>
        <w:spacing w:after="60"/>
      </w:pPr>
      <w:r>
        <w:rPr>
          <w:rFonts w:ascii="PingFang SC" w:hAnsi="PingFang SC" w:eastAsia="PingFang SC"/>
          <w:i w:val="0"/>
          <w:sz w:val="20"/>
        </w:rPr>
        <w:t>行业里的案例数字大多没有口径说明——"满意度提升 30%"是谁统计的、样本多大、跟什么比？问清这一条，能快速区分"真做过"和"PPT 做得好"。</w:t>
      </w:r>
    </w:p>
    <w:p>
      <w:pPr>
        <w:spacing w:before="200" w:after="80"/>
      </w:pPr>
      <w:r>
        <w:rPr>
          <w:rFonts w:ascii="PingFang SC" w:hAnsi="PingFang SC" w:eastAsia="PingFang SC"/>
          <w:b/>
          <w:color w:val="8A5A2B"/>
          <w:sz w:val="23"/>
        </w:rPr>
        <w:t>关于本表</w:t>
      </w:r>
    </w:p>
    <w:p>
      <w:pPr>
        <w:spacing w:after="60"/>
      </w:pPr>
      <w:r>
        <w:rPr>
          <w:rFonts w:ascii="PingFang SC" w:hAnsi="PingFang SC" w:eastAsia="PingFang SC"/>
          <w:i w:val="0"/>
          <w:sz w:val="20"/>
        </w:rPr>
        <w:t>本表由科锐昂公开发布，可自由取用、转发、修改。其中若干条（如第 19 问案例口径披露、第 2–4 问资质核验）我们自己也需要持续证明——在一个普遍不公开定价、不公开方法的品类里，公开选型标准本身就是一种表态。</w:t>
      </w:r>
    </w:p>
    <w:p>
      <w:pPr>
        <w:spacing w:after="60"/>
      </w:pPr>
      <w:r>
        <w:rPr>
          <w:rFonts w:ascii="PingFang SC" w:hAnsi="PingFang SC" w:eastAsia="PingFang SC"/>
          <w:i w:val="0"/>
          <w:color w:val="6B655C"/>
          <w:sz w:val="18"/>
        </w:rPr>
        <w:t>最新版本与配套的合规指南：www.krastd.com/guide/ · 服务热线 400-895-0895</w:t>
      </w:r>
    </w:p>
    <w:p>
      <w:pPr>
        <w:spacing w:after="60"/>
      </w:pPr>
      <w:r>
        <w:rPr>
          <w:rFonts w:ascii="PingFang SC" w:hAnsi="PingFang SC" w:eastAsia="PingFang SC"/>
          <w:i/>
          <w:color w:val="6B655C"/>
          <w:sz w:val="17"/>
        </w:rPr>
        <w:t>本表仅作选型参考，不构成法律或采购意见。</w:t>
      </w:r>
    </w:p>
    <w:sectPr w:rsidR="00FC693F" w:rsidRPr="0006063C" w:rsidSect="00034616">
      <w:pgSz w:w="12240" w:h="15840"/>
      <w:pgMar w:top="1020" w:right="1077" w:bottom="102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ingFang SC" w:hAnsi="PingFang SC" w:eastAsia="PingFang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